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812"/>
        <w:gridCol w:w="15"/>
        <w:gridCol w:w="1134"/>
        <w:gridCol w:w="1858"/>
      </w:tblGrid>
      <w:tr w:rsidR="00CF7257" w:rsidRPr="00F92A7E" w:rsidTr="00AB65AF">
        <w:trPr>
          <w:trHeight w:val="844"/>
        </w:trPr>
        <w:tc>
          <w:tcPr>
            <w:tcW w:w="9054" w:type="dxa"/>
            <w:gridSpan w:val="6"/>
            <w:vAlign w:val="center"/>
          </w:tcPr>
          <w:p w:rsidR="00CF7257" w:rsidRPr="00130178" w:rsidRDefault="004B7BE2" w:rsidP="00042C6A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t xml:space="preserve"> </w:t>
            </w:r>
            <w:r w:rsidR="00CF7257" w:rsidRPr="00CF7257">
              <w:rPr>
                <w:rFonts w:cs="Arial"/>
                <w:b/>
                <w:bCs/>
                <w:sz w:val="28"/>
              </w:rPr>
              <w:t xml:space="preserve">SONDEO DE MERCADO </w:t>
            </w:r>
            <w:r w:rsidR="00130178">
              <w:rPr>
                <w:rFonts w:cs="Arial"/>
                <w:b/>
                <w:bCs/>
                <w:sz w:val="28"/>
              </w:rPr>
              <w:t>PARA DETERMINAR LA</w:t>
            </w:r>
            <w:r w:rsidR="00042C6A">
              <w:rPr>
                <w:rFonts w:cs="Arial"/>
                <w:b/>
                <w:bCs/>
                <w:sz w:val="28"/>
              </w:rPr>
              <w:t xml:space="preserve"> INTENCIÓN</w:t>
            </w:r>
            <w:r w:rsidR="00130178">
              <w:rPr>
                <w:rFonts w:cs="Arial"/>
                <w:b/>
                <w:bCs/>
                <w:sz w:val="28"/>
              </w:rPr>
              <w:t xml:space="preserve"> DE CONTRATACIÓN DE </w:t>
            </w:r>
            <w:r w:rsidR="00CF7257" w:rsidRPr="00CF7257">
              <w:rPr>
                <w:rFonts w:cs="Arial"/>
                <w:b/>
                <w:bCs/>
                <w:sz w:val="28"/>
              </w:rPr>
              <w:t xml:space="preserve">GAS NATURAL </w:t>
            </w:r>
            <w:r w:rsidR="00130178">
              <w:rPr>
                <w:rFonts w:cs="Arial"/>
                <w:b/>
                <w:bCs/>
                <w:sz w:val="28"/>
              </w:rPr>
              <w:t>IMPORTADO</w:t>
            </w:r>
            <w:r w:rsidR="00CF7257" w:rsidRPr="00CF7257">
              <w:rPr>
                <w:rFonts w:cs="Arial"/>
                <w:b/>
                <w:bCs/>
                <w:sz w:val="28"/>
              </w:rPr>
              <w:t xml:space="preserve"> </w:t>
            </w:r>
            <w:r w:rsidR="00130178">
              <w:rPr>
                <w:rFonts w:cs="Arial"/>
                <w:b/>
                <w:bCs/>
                <w:sz w:val="28"/>
              </w:rPr>
              <w:t xml:space="preserve">DE VENEZUELA </w:t>
            </w:r>
          </w:p>
        </w:tc>
      </w:tr>
      <w:tr w:rsidR="00CF7257" w:rsidRPr="00F92A7E" w:rsidTr="00AB65AF">
        <w:trPr>
          <w:trHeight w:val="928"/>
        </w:trPr>
        <w:tc>
          <w:tcPr>
            <w:tcW w:w="9054" w:type="dxa"/>
            <w:gridSpan w:val="6"/>
            <w:vAlign w:val="center"/>
          </w:tcPr>
          <w:p w:rsidR="00CF7257" w:rsidRDefault="00781998" w:rsidP="00552759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Ecopetrol S.A. desea conocer l</w:t>
            </w:r>
            <w:r w:rsidR="00130178">
              <w:rPr>
                <w:rFonts w:cs="Arial"/>
                <w:bCs/>
              </w:rPr>
              <w:t>a intención</w:t>
            </w:r>
            <w:r w:rsidR="00FF795D">
              <w:rPr>
                <w:rFonts w:cs="Arial"/>
                <w:bCs/>
              </w:rPr>
              <w:t xml:space="preserve"> de contratación de</w:t>
            </w:r>
            <w:r w:rsidR="0051174E">
              <w:rPr>
                <w:rFonts w:cs="Arial"/>
                <w:bCs/>
              </w:rPr>
              <w:t>l</w:t>
            </w:r>
            <w:r w:rsidR="00FF795D">
              <w:rPr>
                <w:rFonts w:cs="Arial"/>
                <w:bCs/>
              </w:rPr>
              <w:t xml:space="preserve"> gas natural </w:t>
            </w:r>
            <w:r w:rsidR="00130178">
              <w:rPr>
                <w:rFonts w:cs="Arial"/>
                <w:bCs/>
              </w:rPr>
              <w:t>proveniente de la importación</w:t>
            </w:r>
            <w:r w:rsidR="00042C6A">
              <w:rPr>
                <w:rFonts w:cs="Arial"/>
                <w:bCs/>
              </w:rPr>
              <w:t xml:space="preserve"> de Venezuela</w:t>
            </w:r>
            <w:r w:rsidR="00552759">
              <w:rPr>
                <w:rFonts w:cs="Arial"/>
                <w:bCs/>
              </w:rPr>
              <w:t>,</w:t>
            </w:r>
            <w:r w:rsidR="00042C6A">
              <w:rPr>
                <w:rFonts w:cs="Arial"/>
                <w:bCs/>
              </w:rPr>
              <w:t xml:space="preserve"> en concordancia con las principales condiciones contractuales del contrato de importación vigente entre Ecopetrol S.A</w:t>
            </w:r>
            <w:r w:rsidR="006D3618">
              <w:rPr>
                <w:rFonts w:cs="Arial"/>
                <w:bCs/>
              </w:rPr>
              <w:t>.</w:t>
            </w:r>
            <w:r w:rsidR="00042C6A">
              <w:rPr>
                <w:rFonts w:cs="Arial"/>
                <w:bCs/>
              </w:rPr>
              <w:t xml:space="preserve"> y PDVSA GAS S.A.</w:t>
            </w:r>
          </w:p>
          <w:p w:rsidR="006D3618" w:rsidRDefault="006D3618" w:rsidP="00552759">
            <w:pPr>
              <w:jc w:val="both"/>
              <w:rPr>
                <w:rFonts w:cs="Arial"/>
                <w:bCs/>
              </w:rPr>
            </w:pPr>
          </w:p>
          <w:p w:rsidR="00285BA8" w:rsidRDefault="00285BA8" w:rsidP="00552759">
            <w:pPr>
              <w:jc w:val="both"/>
              <w:rPr>
                <w:rFonts w:cs="Arial"/>
                <w:bCs/>
              </w:rPr>
            </w:pPr>
            <w:r w:rsidRPr="00E5722F">
              <w:rPr>
                <w:rFonts w:cs="Arial"/>
                <w:bCs/>
              </w:rPr>
              <w:t xml:space="preserve">Es importante señalar que el envío de esta información, no genera compromisos comerciales para las </w:t>
            </w:r>
            <w:r w:rsidR="006D3618">
              <w:rPr>
                <w:rFonts w:cs="Arial"/>
                <w:bCs/>
              </w:rPr>
              <w:t>p</w:t>
            </w:r>
            <w:r w:rsidRPr="00E5722F">
              <w:rPr>
                <w:rFonts w:cs="Arial"/>
                <w:bCs/>
              </w:rPr>
              <w:t xml:space="preserve">artes, </w:t>
            </w:r>
            <w:r w:rsidR="002B70F9">
              <w:rPr>
                <w:rFonts w:cs="Arial"/>
                <w:bCs/>
              </w:rPr>
              <w:t xml:space="preserve">no es oferta mercantil y no genera ningún tipo de obligaciones </w:t>
            </w:r>
            <w:r w:rsidRPr="00E5722F">
              <w:rPr>
                <w:rFonts w:cs="Arial"/>
                <w:bCs/>
              </w:rPr>
              <w:t>hasta tanto no se suscriba un contrato de suministro de gas natural.</w:t>
            </w:r>
          </w:p>
          <w:p w:rsidR="006D3618" w:rsidRDefault="006D3618" w:rsidP="00552759">
            <w:pPr>
              <w:jc w:val="both"/>
              <w:rPr>
                <w:rFonts w:cs="Arial"/>
                <w:bCs/>
              </w:rPr>
            </w:pPr>
          </w:p>
          <w:p w:rsidR="0051174E" w:rsidRDefault="0051174E" w:rsidP="00FB5945">
            <w:pPr>
              <w:jc w:val="both"/>
              <w:rPr>
                <w:rFonts w:cs="Arial"/>
                <w:bCs/>
              </w:rPr>
            </w:pPr>
            <w:r w:rsidRPr="0051174E">
              <w:rPr>
                <w:rFonts w:cs="Arial"/>
                <w:bCs/>
              </w:rPr>
              <w:t xml:space="preserve">Las empresas interesadas en el suministro de gas referido, deberán </w:t>
            </w:r>
            <w:r w:rsidR="00646F08">
              <w:rPr>
                <w:rFonts w:cs="Arial"/>
                <w:bCs/>
              </w:rPr>
              <w:t xml:space="preserve">diligenciar la información relacionada en este documento </w:t>
            </w:r>
            <w:r w:rsidR="0099740A">
              <w:rPr>
                <w:rFonts w:cs="Arial"/>
                <w:bCs/>
              </w:rPr>
              <w:t>y deberán enviarla</w:t>
            </w:r>
            <w:r w:rsidR="00646F08">
              <w:rPr>
                <w:rFonts w:cs="Arial"/>
                <w:bCs/>
              </w:rPr>
              <w:t xml:space="preserve"> </w:t>
            </w:r>
            <w:r w:rsidR="0099740A">
              <w:rPr>
                <w:rFonts w:cs="Arial"/>
                <w:bCs/>
              </w:rPr>
              <w:t>en</w:t>
            </w:r>
            <w:r w:rsidR="00646F08">
              <w:rPr>
                <w:rFonts w:cs="Arial"/>
                <w:bCs/>
              </w:rPr>
              <w:t xml:space="preserve"> forma física</w:t>
            </w:r>
            <w:r w:rsidR="006D3618">
              <w:rPr>
                <w:rFonts w:cs="Arial"/>
                <w:bCs/>
              </w:rPr>
              <w:t>,</w:t>
            </w:r>
            <w:r w:rsidR="00646F08">
              <w:rPr>
                <w:rFonts w:cs="Arial"/>
                <w:bCs/>
              </w:rPr>
              <w:t xml:space="preserve"> </w:t>
            </w:r>
            <w:r w:rsidR="00F3743A">
              <w:rPr>
                <w:rFonts w:cs="Arial"/>
                <w:bCs/>
              </w:rPr>
              <w:t xml:space="preserve">mediante carta firmada por el representante legal de la empresa </w:t>
            </w:r>
            <w:r w:rsidR="006D3618">
              <w:rPr>
                <w:rFonts w:cs="Arial"/>
                <w:bCs/>
              </w:rPr>
              <w:t xml:space="preserve">interesada, </w:t>
            </w:r>
            <w:r w:rsidR="00646F08">
              <w:rPr>
                <w:rFonts w:cs="Arial"/>
                <w:bCs/>
              </w:rPr>
              <w:t xml:space="preserve">a más tardar el </w:t>
            </w:r>
            <w:r w:rsidR="006D3618">
              <w:rPr>
                <w:rFonts w:cs="Arial"/>
                <w:bCs/>
              </w:rPr>
              <w:t>diecinueve (19)</w:t>
            </w:r>
            <w:r w:rsidR="00646F08">
              <w:rPr>
                <w:rFonts w:cs="Arial"/>
                <w:bCs/>
              </w:rPr>
              <w:t xml:space="preserve"> de agosto del año en curso</w:t>
            </w:r>
            <w:r w:rsidR="00FB5945">
              <w:rPr>
                <w:rFonts w:cs="Arial"/>
                <w:bCs/>
              </w:rPr>
              <w:t>,</w:t>
            </w:r>
            <w:r w:rsidR="006D3618">
              <w:rPr>
                <w:rFonts w:cs="Arial"/>
                <w:bCs/>
              </w:rPr>
              <w:t xml:space="preserve"> a la Carrera 7 # 37 – 69, Edificio </w:t>
            </w:r>
            <w:proofErr w:type="spellStart"/>
            <w:r w:rsidR="006D3618">
              <w:rPr>
                <w:rFonts w:cs="Arial"/>
                <w:bCs/>
              </w:rPr>
              <w:t>Teusacá</w:t>
            </w:r>
            <w:proofErr w:type="spellEnd"/>
            <w:r w:rsidR="00FB5945">
              <w:rPr>
                <w:rFonts w:cs="Arial"/>
                <w:bCs/>
              </w:rPr>
              <w:t>, Piso 6</w:t>
            </w:r>
            <w:r w:rsidR="006D3618">
              <w:rPr>
                <w:rFonts w:cs="Arial"/>
                <w:bCs/>
              </w:rPr>
              <w:t>, Bogotá D.C</w:t>
            </w:r>
            <w:r w:rsidR="00646F08">
              <w:rPr>
                <w:rFonts w:cs="Arial"/>
                <w:bCs/>
              </w:rPr>
              <w:t>.</w:t>
            </w:r>
          </w:p>
          <w:p w:rsidR="006D3618" w:rsidRPr="00042C6A" w:rsidRDefault="006D3618" w:rsidP="00BA09CF">
            <w:pPr>
              <w:jc w:val="both"/>
              <w:rPr>
                <w:rFonts w:cs="Arial"/>
                <w:bCs/>
              </w:rPr>
            </w:pPr>
          </w:p>
        </w:tc>
      </w:tr>
      <w:tr w:rsidR="00CF7257" w:rsidRPr="00F92A7E" w:rsidTr="00AB65AF">
        <w:trPr>
          <w:trHeight w:val="423"/>
        </w:trPr>
        <w:tc>
          <w:tcPr>
            <w:tcW w:w="2235" w:type="dxa"/>
            <w:gridSpan w:val="2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Comprador del gas</w:t>
            </w:r>
            <w:r w:rsidR="00042C6A">
              <w:rPr>
                <w:rFonts w:cs="Arial"/>
                <w:b/>
                <w:bCs/>
              </w:rPr>
              <w:t xml:space="preserve"> (Compañía)</w:t>
            </w:r>
          </w:p>
        </w:tc>
        <w:tc>
          <w:tcPr>
            <w:tcW w:w="3812" w:type="dxa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Fecha</w:t>
            </w:r>
          </w:p>
        </w:tc>
        <w:tc>
          <w:tcPr>
            <w:tcW w:w="1858" w:type="dxa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</w:tr>
      <w:tr w:rsidR="00CF7257" w:rsidRPr="00F92A7E" w:rsidTr="00AB65AF">
        <w:trPr>
          <w:trHeight w:val="423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8E612F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Nombre de contacto</w:t>
            </w:r>
          </w:p>
        </w:tc>
        <w:tc>
          <w:tcPr>
            <w:tcW w:w="6819" w:type="dxa"/>
            <w:gridSpan w:val="4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</w:tr>
      <w:tr w:rsidR="00CF7257" w:rsidRPr="00F92A7E" w:rsidTr="00AB65AF">
        <w:trPr>
          <w:trHeight w:val="42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Cargo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Teléfono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</w:tr>
      <w:tr w:rsidR="00CF7257" w:rsidRPr="00F92A7E" w:rsidTr="00AB65AF">
        <w:trPr>
          <w:trHeight w:val="423"/>
        </w:trPr>
        <w:tc>
          <w:tcPr>
            <w:tcW w:w="1242" w:type="dxa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Email</w:t>
            </w:r>
          </w:p>
        </w:tc>
        <w:tc>
          <w:tcPr>
            <w:tcW w:w="4820" w:type="dxa"/>
            <w:gridSpan w:val="3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Móvil</w:t>
            </w:r>
          </w:p>
        </w:tc>
        <w:tc>
          <w:tcPr>
            <w:tcW w:w="1858" w:type="dxa"/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</w:tr>
      <w:tr w:rsidR="00CF7257" w:rsidRPr="00F92A7E" w:rsidTr="00AB65AF">
        <w:trPr>
          <w:trHeight w:val="423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  <w:r w:rsidRPr="00CF7257">
              <w:rPr>
                <w:rFonts w:cs="Arial"/>
                <w:b/>
                <w:bCs/>
              </w:rPr>
              <w:t>Dirección</w:t>
            </w:r>
          </w:p>
        </w:tc>
        <w:tc>
          <w:tcPr>
            <w:tcW w:w="7812" w:type="dxa"/>
            <w:gridSpan w:val="5"/>
            <w:tcBorders>
              <w:bottom w:val="single" w:sz="4" w:space="0" w:color="auto"/>
            </w:tcBorders>
            <w:vAlign w:val="center"/>
          </w:tcPr>
          <w:p w:rsidR="00CF7257" w:rsidRPr="00CF7257" w:rsidRDefault="00CF7257" w:rsidP="00BC7F3D">
            <w:pPr>
              <w:rPr>
                <w:rFonts w:cs="Arial"/>
                <w:b/>
                <w:bCs/>
              </w:rPr>
            </w:pPr>
          </w:p>
        </w:tc>
      </w:tr>
    </w:tbl>
    <w:p w:rsidR="009C3C47" w:rsidRPr="00F53853" w:rsidRDefault="009C3C47" w:rsidP="00F53853">
      <w:pPr>
        <w:pStyle w:val="Prrafodelista"/>
        <w:numPr>
          <w:ilvl w:val="0"/>
          <w:numId w:val="20"/>
        </w:numPr>
        <w:spacing w:before="360"/>
        <w:rPr>
          <w:b/>
        </w:rPr>
      </w:pPr>
      <w:r w:rsidRPr="00F53853">
        <w:rPr>
          <w:b/>
        </w:rPr>
        <w:t>INTRODUCCIÓN</w:t>
      </w:r>
    </w:p>
    <w:p w:rsidR="009C3C47" w:rsidRDefault="009C3C47" w:rsidP="009C3C47">
      <w:pPr>
        <w:spacing w:before="360"/>
        <w:jc w:val="both"/>
      </w:pPr>
      <w:r>
        <w:t xml:space="preserve">El contrato de suministro internacional de gas </w:t>
      </w:r>
      <w:r w:rsidR="000F24DC">
        <w:t xml:space="preserve">a Ecopetrol S.A., por parte de PDVSA GAS S.A. </w:t>
      </w:r>
      <w:r>
        <w:t>fue suscrito en 2007</w:t>
      </w:r>
      <w:r w:rsidR="000F24DC">
        <w:t xml:space="preserve">, </w:t>
      </w:r>
      <w:r>
        <w:t>y por lo tanto</w:t>
      </w:r>
      <w:r w:rsidR="000F24DC">
        <w:t>,</w:t>
      </w:r>
      <w:r>
        <w:t xml:space="preserve"> algunas de las condiciones contractuales suscritas difieren de las condiciones estándar </w:t>
      </w:r>
      <w:r w:rsidR="00DF28F8">
        <w:t xml:space="preserve">establecidas en la </w:t>
      </w:r>
      <w:r w:rsidR="00F04A38">
        <w:t>R</w:t>
      </w:r>
      <w:r w:rsidR="00DF28F8">
        <w:t>esolución CREG 089/2013</w:t>
      </w:r>
      <w:r w:rsidR="00FB5945">
        <w:t xml:space="preserve"> </w:t>
      </w:r>
      <w:r>
        <w:t xml:space="preserve">para la comercialización de campos mayores. La intención de Ecopetrol S.A. es dar a conocer las condiciones más importantes </w:t>
      </w:r>
      <w:r w:rsidR="00F53853">
        <w:t xml:space="preserve">que se replicarían en los contratos de suministro </w:t>
      </w:r>
      <w:r w:rsidR="00FB5945">
        <w:t xml:space="preserve">que eventualmente se suscriban con </w:t>
      </w:r>
      <w:r w:rsidR="00F53853">
        <w:t>los potenciales clientes</w:t>
      </w:r>
      <w:r w:rsidR="000F24DC">
        <w:t>,</w:t>
      </w:r>
      <w:r w:rsidR="00F53853">
        <w:t xml:space="preserve"> </w:t>
      </w:r>
      <w:r>
        <w:t xml:space="preserve">con el fin de identificar necesidades de contratación </w:t>
      </w:r>
      <w:r w:rsidR="000F24DC">
        <w:t>realistas</w:t>
      </w:r>
      <w:r>
        <w:t xml:space="preserve"> evaluadas </w:t>
      </w:r>
      <w:r w:rsidR="00F53853">
        <w:t>bajo estos términos.</w:t>
      </w:r>
    </w:p>
    <w:p w:rsidR="00F53853" w:rsidRPr="00F53853" w:rsidRDefault="00F53853" w:rsidP="00F53853">
      <w:pPr>
        <w:pStyle w:val="Prrafodelista"/>
        <w:numPr>
          <w:ilvl w:val="0"/>
          <w:numId w:val="20"/>
        </w:numPr>
        <w:spacing w:before="360"/>
        <w:jc w:val="both"/>
        <w:rPr>
          <w:b/>
        </w:rPr>
      </w:pPr>
      <w:r w:rsidRPr="00F53853">
        <w:rPr>
          <w:b/>
        </w:rPr>
        <w:t>CONDICIONES CONTRACTUALES RELEVANTES</w:t>
      </w:r>
      <w:r w:rsidR="00A462B5">
        <w:rPr>
          <w:b/>
        </w:rPr>
        <w:t xml:space="preserve"> 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6500"/>
      </w:tblGrid>
      <w:tr w:rsidR="00C50C84" w:rsidRPr="00C50C84" w:rsidTr="00C50C84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>Modalidad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>Firme</w:t>
            </w:r>
          </w:p>
        </w:tc>
      </w:tr>
      <w:tr w:rsidR="00AA1C0E" w:rsidRPr="00C50C84" w:rsidTr="00CD0175">
        <w:trPr>
          <w:trHeight w:val="48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0E" w:rsidRDefault="00AA1C0E" w:rsidP="00FB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Fecha de Inicio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C0E" w:rsidRDefault="00AA1C0E" w:rsidP="00AA1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1° de diciembre de 2016</w:t>
            </w:r>
          </w:p>
        </w:tc>
      </w:tr>
      <w:tr w:rsidR="00CD0175" w:rsidRPr="00C50C84" w:rsidTr="00CD0175">
        <w:trPr>
          <w:trHeight w:val="48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5" w:rsidRPr="00C50C84" w:rsidRDefault="00CD0175" w:rsidP="00FB5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Precio </w:t>
            </w:r>
            <w:r w:rsidR="00552759">
              <w:rPr>
                <w:rFonts w:ascii="Calibri" w:eastAsia="Times New Roman" w:hAnsi="Calibri" w:cs="Times New Roman"/>
                <w:color w:val="000000"/>
              </w:rPr>
              <w:t xml:space="preserve">para el </w:t>
            </w:r>
            <w:r w:rsidR="00552759" w:rsidRPr="00AA1C0E">
              <w:rPr>
                <w:rFonts w:ascii="Calibri" w:eastAsia="Times New Roman" w:hAnsi="Calibri" w:cs="Times New Roman"/>
                <w:b/>
                <w:color w:val="000000"/>
              </w:rPr>
              <w:t xml:space="preserve">primer </w:t>
            </w:r>
            <w:r w:rsidR="00FB5945" w:rsidRPr="00AA1C0E">
              <w:rPr>
                <w:rFonts w:ascii="Calibri" w:eastAsia="Times New Roman" w:hAnsi="Calibri" w:cs="Times New Roman"/>
                <w:b/>
                <w:color w:val="000000"/>
              </w:rPr>
              <w:t>semestre</w:t>
            </w:r>
            <w:r w:rsidR="00FB594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52759">
              <w:rPr>
                <w:rFonts w:ascii="Calibri" w:eastAsia="Times New Roman" w:hAnsi="Calibri" w:cs="Times New Roman"/>
                <w:color w:val="000000"/>
              </w:rPr>
              <w:t>de ejecución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75" w:rsidRPr="00C50C84" w:rsidRDefault="000A65AF" w:rsidP="00E278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El rango de precio </w:t>
            </w:r>
            <w:r w:rsidR="00E27850">
              <w:rPr>
                <w:rFonts w:ascii="Calibri" w:eastAsia="Times New Roman" w:hAnsi="Calibri" w:cs="Times New Roman"/>
                <w:color w:val="000000"/>
              </w:rPr>
              <w:t xml:space="preserve">de venta </w:t>
            </w:r>
            <w:r>
              <w:rPr>
                <w:rFonts w:ascii="Calibri" w:eastAsia="Times New Roman" w:hAnsi="Calibri" w:cs="Times New Roman"/>
                <w:color w:val="000000"/>
              </w:rPr>
              <w:t>se dará a conocer</w:t>
            </w:r>
            <w:r w:rsidR="00CD01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27850">
              <w:rPr>
                <w:rFonts w:ascii="Calibri" w:eastAsia="Times New Roman" w:hAnsi="Calibri" w:cs="Times New Roman"/>
                <w:color w:val="000000"/>
              </w:rPr>
              <w:t xml:space="preserve">a los interesados que envíen el presente documento diligenciado para intención de contratación </w:t>
            </w:r>
            <w:r w:rsidR="00E27850" w:rsidRPr="00E27850">
              <w:rPr>
                <w:rFonts w:ascii="Calibri" w:eastAsia="Times New Roman" w:hAnsi="Calibri" w:cs="Times New Roman"/>
                <w:b/>
                <w:color w:val="000000"/>
              </w:rPr>
              <w:t>en firme</w:t>
            </w:r>
            <w:r w:rsidR="00E27850">
              <w:rPr>
                <w:rFonts w:ascii="Calibri" w:eastAsia="Times New Roman" w:hAnsi="Calibri" w:cs="Times New Roman"/>
                <w:color w:val="000000"/>
              </w:rPr>
              <w:t xml:space="preserve"> (Numeral 3), de acuerdo con las condiciones mencionadas</w:t>
            </w:r>
          </w:p>
        </w:tc>
      </w:tr>
      <w:tr w:rsidR="001361DD" w:rsidRPr="00C50C84" w:rsidTr="00C50C84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DD" w:rsidRPr="00C50C84" w:rsidRDefault="001361DD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Puntos de Entrega posibles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1DD" w:rsidRPr="001361DD" w:rsidRDefault="001361DD" w:rsidP="001361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61DD">
              <w:rPr>
                <w:rFonts w:ascii="Calibri" w:eastAsia="Times New Roman" w:hAnsi="Calibri" w:cs="Times New Roman"/>
                <w:b/>
                <w:color w:val="000000"/>
              </w:rPr>
              <w:t>SISTEMA DE PROMIGAS:</w:t>
            </w:r>
          </w:p>
          <w:p w:rsidR="001361DD" w:rsidRPr="001361DD" w:rsidRDefault="001361DD" w:rsidP="00136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1DD">
              <w:rPr>
                <w:rFonts w:ascii="Calibri" w:eastAsia="Times New Roman" w:hAnsi="Calibri" w:cs="Times New Roman"/>
                <w:color w:val="000000"/>
              </w:rPr>
              <w:t xml:space="preserve">Brida de salida de los medidores </w:t>
            </w:r>
            <w:r w:rsidR="00E27850" w:rsidRPr="001361DD">
              <w:rPr>
                <w:rFonts w:ascii="Calibri" w:eastAsia="Times New Roman" w:hAnsi="Calibri" w:cs="Times New Roman"/>
                <w:color w:val="000000"/>
              </w:rPr>
              <w:t>denominados</w:t>
            </w:r>
            <w:r w:rsidRPr="001361DD">
              <w:rPr>
                <w:rFonts w:ascii="Calibri" w:eastAsia="Times New Roman" w:hAnsi="Calibri" w:cs="Times New Roman"/>
                <w:color w:val="000000"/>
              </w:rPr>
              <w:t xml:space="preserve"> Medidor 1 y Medidor 2, localizados en la Estación Ballena-</w:t>
            </w:r>
            <w:proofErr w:type="spellStart"/>
            <w:r w:rsidRPr="001361DD">
              <w:rPr>
                <w:rFonts w:ascii="Calibri" w:eastAsia="Times New Roman" w:hAnsi="Calibri" w:cs="Times New Roman"/>
                <w:color w:val="000000"/>
              </w:rPr>
              <w:t>Promigas</w:t>
            </w:r>
            <w:proofErr w:type="spellEnd"/>
            <w:r w:rsidRPr="001361DD">
              <w:rPr>
                <w:rFonts w:ascii="Calibri" w:eastAsia="Times New Roman" w:hAnsi="Calibri" w:cs="Times New Roman"/>
                <w:color w:val="000000"/>
              </w:rPr>
              <w:t>, aguas abajo de las plantas de deshidratación de Gas.</w:t>
            </w:r>
          </w:p>
          <w:p w:rsidR="001361DD" w:rsidRPr="001361DD" w:rsidRDefault="001361DD" w:rsidP="001361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1361DD" w:rsidRPr="001361DD" w:rsidRDefault="001361DD" w:rsidP="001361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361DD">
              <w:rPr>
                <w:rFonts w:ascii="Calibri" w:eastAsia="Times New Roman" w:hAnsi="Calibri" w:cs="Times New Roman"/>
                <w:b/>
                <w:color w:val="000000"/>
              </w:rPr>
              <w:t>SISTEMA DE TGI:</w:t>
            </w:r>
          </w:p>
          <w:p w:rsidR="001361DD" w:rsidRPr="00C50C84" w:rsidRDefault="001361DD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361DD">
              <w:rPr>
                <w:rFonts w:ascii="Calibri" w:eastAsia="Times New Roman" w:hAnsi="Calibri" w:cs="Times New Roman"/>
                <w:color w:val="000000"/>
              </w:rPr>
              <w:t xml:space="preserve">Brida de salida de los medidores de platina de orificio ubicados aguas debajo de los sistemas de deshidratación de la Estación Ballena de </w:t>
            </w:r>
            <w:proofErr w:type="spellStart"/>
            <w:r w:rsidRPr="001361DD">
              <w:rPr>
                <w:rFonts w:ascii="Calibri" w:eastAsia="Times New Roman" w:hAnsi="Calibri" w:cs="Times New Roman"/>
                <w:color w:val="000000"/>
              </w:rPr>
              <w:t>Centragas</w:t>
            </w:r>
            <w:proofErr w:type="spellEnd"/>
            <w:r w:rsidRPr="001361D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C50C84" w:rsidRPr="00C50C84" w:rsidTr="00C50C84">
        <w:trPr>
          <w:trHeight w:val="9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>Indexador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 xml:space="preserve">Índice de actualización contenido en la resolución CREG 119 de 2005 (hoy derogada) y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que representa </w:t>
            </w:r>
            <w:r w:rsidRPr="00C50C84">
              <w:rPr>
                <w:rFonts w:ascii="Calibri" w:eastAsia="Times New Roman" w:hAnsi="Calibri" w:cs="Times New Roman"/>
                <w:color w:val="000000"/>
              </w:rPr>
              <w:t xml:space="preserve">la variación </w:t>
            </w:r>
            <w:r w:rsidRPr="00AA1C0E">
              <w:rPr>
                <w:rFonts w:ascii="Calibri" w:eastAsia="Times New Roman" w:hAnsi="Calibri" w:cs="Times New Roman"/>
                <w:b/>
                <w:color w:val="000000"/>
              </w:rPr>
              <w:t>semestral</w:t>
            </w:r>
            <w:r w:rsidRPr="00C50C84">
              <w:rPr>
                <w:rFonts w:ascii="Calibri" w:eastAsia="Times New Roman" w:hAnsi="Calibri" w:cs="Times New Roman"/>
                <w:color w:val="000000"/>
              </w:rPr>
              <w:t xml:space="preserve"> de la serie </w:t>
            </w:r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 xml:space="preserve">US </w:t>
            </w:r>
            <w:proofErr w:type="spellStart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>Gulf</w:t>
            </w:r>
            <w:proofErr w:type="spellEnd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proofErr w:type="spellStart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>Coast</w:t>
            </w:r>
            <w:proofErr w:type="spellEnd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 xml:space="preserve"> Residual Fuel </w:t>
            </w:r>
            <w:proofErr w:type="spellStart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>Oil</w:t>
            </w:r>
            <w:proofErr w:type="spellEnd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 xml:space="preserve"> No.6, 1% </w:t>
            </w:r>
            <w:proofErr w:type="spellStart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>Sulfur</w:t>
            </w:r>
            <w:proofErr w:type="spellEnd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 xml:space="preserve"> de </w:t>
            </w:r>
            <w:proofErr w:type="spellStart"/>
            <w:r w:rsidRPr="00C50C84">
              <w:rPr>
                <w:rFonts w:ascii="Calibri" w:eastAsia="Times New Roman" w:hAnsi="Calibri" w:cs="Times New Roman"/>
                <w:i/>
                <w:color w:val="000000"/>
              </w:rPr>
              <w:t>Platts</w:t>
            </w:r>
            <w:proofErr w:type="spellEnd"/>
          </w:p>
        </w:tc>
      </w:tr>
      <w:tr w:rsidR="000E13F6" w:rsidRPr="00C50C84" w:rsidTr="00C50C8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Default="000E13F6" w:rsidP="000E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Eventos Eximentes y de Fuerza Mayor no </w:t>
            </w:r>
            <w:r w:rsidR="00AA1C0E">
              <w:rPr>
                <w:rFonts w:ascii="Calibri" w:eastAsia="Times New Roman" w:hAnsi="Calibri" w:cs="Times New Roman"/>
                <w:color w:val="000000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</w:rPr>
              <w:t>stándar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6" w:rsidRDefault="000E13F6" w:rsidP="000E13F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13F6">
              <w:rPr>
                <w:rFonts w:ascii="Calibri" w:eastAsia="Times New Roman" w:hAnsi="Calibri" w:cs="Times New Roman"/>
                <w:color w:val="000000"/>
              </w:rPr>
              <w:t>Actos de desorden Industrial y paros que imposibiliten a las partes el cumplimiento del contrato, no obstante la verificación de la aplicación de los planes de contingencia correspondientes</w:t>
            </w:r>
            <w:r w:rsidR="00CD0175"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0E13F6" w:rsidRDefault="000E13F6" w:rsidP="000E13F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Leyes, disposiciones u órdenes de Autoridades que sean aplicables a cualquiera de las Partes</w:t>
            </w:r>
            <w:r w:rsidR="006A7604">
              <w:rPr>
                <w:rFonts w:ascii="Calibri" w:eastAsia="Times New Roman" w:hAnsi="Calibri" w:cs="Times New Roman"/>
                <w:color w:val="000000"/>
              </w:rPr>
              <w:t xml:space="preserve"> (aplica para acciones tanto del Gobierno venezolano como del Gobierno colombiano)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0E13F6" w:rsidRDefault="000E13F6" w:rsidP="000E13F6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Problemas geológicos en el yacimiento o problemas geológicos en los pozos de producción.</w:t>
            </w:r>
          </w:p>
          <w:p w:rsidR="000E13F6" w:rsidRPr="00CD0175" w:rsidRDefault="000E13F6" w:rsidP="00CD0175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Suspensión del cumplimiento del contrato de transporte entre PDVSA GAS S.A. y El Transportador de</w:t>
            </w:r>
            <w:r w:rsidR="00CD0175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tramo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Majayura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-Ballena, por cualquier motivo.</w:t>
            </w:r>
          </w:p>
        </w:tc>
      </w:tr>
      <w:tr w:rsidR="00C50C84" w:rsidRPr="00C50C84" w:rsidTr="00C50C84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0E13F6" w:rsidP="000E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Horas de E</w:t>
            </w:r>
            <w:r w:rsidR="00C50C84" w:rsidRPr="00C50C84">
              <w:rPr>
                <w:rFonts w:ascii="Calibri" w:eastAsia="Times New Roman" w:hAnsi="Calibri" w:cs="Times New Roman"/>
                <w:color w:val="000000"/>
              </w:rPr>
              <w:t xml:space="preserve">ventos Eximentes </w:t>
            </w:r>
            <w:r>
              <w:rPr>
                <w:rFonts w:ascii="Calibri" w:eastAsia="Times New Roman" w:hAnsi="Calibri" w:cs="Times New Roman"/>
                <w:color w:val="000000"/>
              </w:rPr>
              <w:t>y Fuerza Mayor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0E13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>Hasta 720 por año (bilaterales)</w:t>
            </w:r>
          </w:p>
        </w:tc>
      </w:tr>
      <w:tr w:rsidR="00C50C84" w:rsidRPr="00C50C84" w:rsidTr="00DD0C47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>Calidad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552759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  <w:r w:rsidR="00C50C84" w:rsidRPr="00C50C84">
              <w:rPr>
                <w:rFonts w:ascii="Calibri" w:eastAsia="Times New Roman" w:hAnsi="Calibri" w:cs="Times New Roman"/>
                <w:color w:val="000000"/>
              </w:rPr>
              <w:t>umple condiciones RUT</w:t>
            </w:r>
          </w:p>
        </w:tc>
      </w:tr>
      <w:tr w:rsidR="00C50C84" w:rsidRPr="00C50C84" w:rsidTr="00DD0C47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C50C84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50C84">
              <w:rPr>
                <w:rFonts w:ascii="Calibri" w:eastAsia="Times New Roman" w:hAnsi="Calibri" w:cs="Times New Roman"/>
                <w:color w:val="000000"/>
              </w:rPr>
              <w:t>Penalizaciones</w:t>
            </w:r>
            <w:r w:rsidR="005C0B59">
              <w:rPr>
                <w:rFonts w:ascii="Calibri" w:eastAsia="Times New Roman" w:hAnsi="Calibri" w:cs="Times New Roman"/>
                <w:color w:val="000000"/>
              </w:rPr>
              <w:t xml:space="preserve"> por incumplimiento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84" w:rsidRPr="00C50C84" w:rsidRDefault="003E3735" w:rsidP="00C50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0C47">
              <w:rPr>
                <w:rFonts w:ascii="Calibri" w:eastAsia="Times New Roman" w:hAnsi="Calibri" w:cs="Times New Roman"/>
                <w:color w:val="000000"/>
              </w:rPr>
              <w:t>[Cantidad incumplida MBTU] * [Precio vigente USD/MBTU]</w:t>
            </w:r>
            <w:r w:rsidR="00E27850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independientemente del mercado de destino</w:t>
            </w:r>
          </w:p>
        </w:tc>
      </w:tr>
    </w:tbl>
    <w:p w:rsidR="00A82536" w:rsidRPr="00DD0C47" w:rsidRDefault="00781998" w:rsidP="00781998">
      <w:pPr>
        <w:spacing w:before="360"/>
        <w:jc w:val="both"/>
      </w:pPr>
      <w:r>
        <w:rPr>
          <w:rFonts w:ascii="Calibri" w:eastAsia="Times New Roman" w:hAnsi="Calibri" w:cs="Times New Roman"/>
          <w:color w:val="000000"/>
        </w:rPr>
        <w:t xml:space="preserve">NOTA: Ecopetrol S.A. se reserva el derecho de dar a conocer condiciones contractuales adicionales que el interesado considere relevantes, siempre y cuando éste envíe el presente documento diligenciado para intención de contratación </w:t>
      </w:r>
      <w:r w:rsidRPr="00E27850">
        <w:rPr>
          <w:rFonts w:ascii="Calibri" w:eastAsia="Times New Roman" w:hAnsi="Calibri" w:cs="Times New Roman"/>
          <w:b/>
          <w:color w:val="000000"/>
        </w:rPr>
        <w:t>en firme</w:t>
      </w:r>
      <w:r>
        <w:rPr>
          <w:rFonts w:ascii="Calibri" w:eastAsia="Times New Roman" w:hAnsi="Calibri" w:cs="Times New Roman"/>
          <w:color w:val="000000"/>
        </w:rPr>
        <w:t xml:space="preserve"> (Numeral 3), de acuerdo con las condiciones mencionadas.</w:t>
      </w:r>
    </w:p>
    <w:p w:rsidR="004B7BE2" w:rsidRPr="000E346E" w:rsidRDefault="00FF795D" w:rsidP="00A462B5">
      <w:pPr>
        <w:pStyle w:val="Prrafodelista"/>
        <w:numPr>
          <w:ilvl w:val="0"/>
          <w:numId w:val="20"/>
        </w:numPr>
        <w:spacing w:before="360"/>
        <w:rPr>
          <w:b/>
          <w:u w:val="single"/>
        </w:rPr>
      </w:pPr>
      <w:r w:rsidRPr="00A462B5">
        <w:rPr>
          <w:b/>
        </w:rPr>
        <w:t>DATOS BÁSICOS</w:t>
      </w:r>
      <w:r w:rsidR="001361DD">
        <w:rPr>
          <w:b/>
        </w:rPr>
        <w:t xml:space="preserve"> INTENCIÓN DE CONTRATACIÓN </w:t>
      </w:r>
      <w:r w:rsidR="001361DD" w:rsidRPr="000E346E">
        <w:rPr>
          <w:b/>
          <w:u w:val="single"/>
        </w:rPr>
        <w:t>EN FIRME</w:t>
      </w:r>
    </w:p>
    <w:p w:rsidR="00FF795D" w:rsidRDefault="00CB2838" w:rsidP="008E612F">
      <w:pPr>
        <w:spacing w:before="360"/>
      </w:pPr>
      <w:r>
        <w:t>P</w:t>
      </w:r>
      <w:r w:rsidR="00FF795D">
        <w:t>or favor diligenciar la siguiente tabla con los datos básicos de la intención de contratación</w:t>
      </w:r>
      <w:r w:rsidR="00F53853">
        <w:t>.</w:t>
      </w:r>
    </w:p>
    <w:tbl>
      <w:tblPr>
        <w:tblW w:w="73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7"/>
        <w:gridCol w:w="1015"/>
        <w:gridCol w:w="832"/>
        <w:gridCol w:w="1398"/>
      </w:tblGrid>
      <w:tr w:rsidR="00FF795D" w:rsidRPr="00FF795D" w:rsidTr="00BA09CF">
        <w:trPr>
          <w:trHeight w:val="90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5D" w:rsidRPr="00FF795D" w:rsidRDefault="00FF795D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Segmento de mercado</w:t>
            </w:r>
            <w:r w:rsidR="005D43D0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5D" w:rsidRPr="00FF795D" w:rsidRDefault="00FF795D" w:rsidP="00BA09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Cantidad requerida [MBTUD]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5D" w:rsidRPr="00FF795D" w:rsidRDefault="00FF795D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Plazo</w:t>
            </w:r>
            <w:r w:rsidR="007E64CC">
              <w:rPr>
                <w:rFonts w:ascii="Calibri" w:eastAsia="Times New Roman" w:hAnsi="Calibri" w:cs="Times New Roman"/>
                <w:color w:val="000000"/>
              </w:rPr>
              <w:t>*</w:t>
            </w:r>
            <w:r w:rsidR="00BA09CF">
              <w:rPr>
                <w:rFonts w:ascii="Calibri" w:eastAsia="Times New Roman" w:hAnsi="Calibri" w:cs="Times New Roman"/>
                <w:color w:val="000000"/>
              </w:rPr>
              <w:t>*</w:t>
            </w:r>
            <w:r w:rsidRPr="00FF795D">
              <w:rPr>
                <w:rFonts w:ascii="Calibri" w:eastAsia="Times New Roman" w:hAnsi="Calibri" w:cs="Times New Roman"/>
                <w:color w:val="000000"/>
              </w:rPr>
              <w:t xml:space="preserve"> [años]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5D" w:rsidRPr="00FF795D" w:rsidRDefault="00FF795D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Zona Geográfica</w:t>
            </w:r>
          </w:p>
        </w:tc>
      </w:tr>
      <w:tr w:rsidR="00FF795D" w:rsidRPr="00FF795D" w:rsidTr="00BA09CF">
        <w:trPr>
          <w:trHeight w:val="60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95D" w:rsidRPr="00FF795D" w:rsidRDefault="007E64CC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  <w:r w:rsidR="00A449BE">
              <w:rPr>
                <w:rFonts w:ascii="Calibri" w:eastAsia="Times New Roman" w:hAnsi="Calibri" w:cs="Times New Roman"/>
                <w:color w:val="000000"/>
              </w:rPr>
              <w:t xml:space="preserve">estino del gas: </w:t>
            </w:r>
            <w:r w:rsidR="00FF795D" w:rsidRPr="00FF795D">
              <w:rPr>
                <w:rFonts w:ascii="Calibri" w:eastAsia="Times New Roman" w:hAnsi="Calibri" w:cs="Times New Roman"/>
                <w:color w:val="000000"/>
              </w:rPr>
              <w:t>Industrial/Térmico/GNV/Residencial/</w:t>
            </w:r>
            <w:r w:rsidR="009C3C47" w:rsidRPr="00FF795D">
              <w:rPr>
                <w:rFonts w:ascii="Calibri" w:eastAsia="Times New Roman" w:hAnsi="Calibri" w:cs="Times New Roman"/>
                <w:color w:val="000000"/>
              </w:rPr>
              <w:t>Petroquímico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5D" w:rsidRPr="00FF795D" w:rsidRDefault="00FF795D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5D" w:rsidRPr="00FF795D" w:rsidRDefault="00FF795D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95D" w:rsidRPr="00FF795D" w:rsidRDefault="00FF795D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Interior/Costa</w:t>
            </w:r>
          </w:p>
        </w:tc>
      </w:tr>
      <w:tr w:rsidR="007E64CC" w:rsidRPr="00FF795D" w:rsidTr="00BA09CF">
        <w:trPr>
          <w:trHeight w:val="600"/>
          <w:jc w:val="center"/>
        </w:trPr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C" w:rsidRDefault="007E64CC" w:rsidP="007E64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Destino del gas: </w:t>
            </w:r>
            <w:r w:rsidRPr="00FF795D">
              <w:rPr>
                <w:rFonts w:ascii="Calibri" w:eastAsia="Times New Roman" w:hAnsi="Calibri" w:cs="Times New Roman"/>
                <w:color w:val="000000"/>
              </w:rPr>
              <w:t>Industrial/Térmico/GNV/Residencial/Petroquímico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CC" w:rsidRPr="00FF795D" w:rsidRDefault="007E64CC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CC" w:rsidRPr="00FF795D" w:rsidRDefault="007E64CC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CC" w:rsidRPr="00FF795D" w:rsidRDefault="00BA09CF" w:rsidP="00FF7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Interior/Costa</w:t>
            </w:r>
          </w:p>
        </w:tc>
      </w:tr>
    </w:tbl>
    <w:p w:rsidR="00AA1C0E" w:rsidRDefault="00BA09CF" w:rsidP="00FF795D">
      <w:pPr>
        <w:pStyle w:val="Prrafodelista"/>
      </w:pPr>
      <w:r>
        <w:t>*</w:t>
      </w:r>
      <w:r w:rsidR="00AA1C0E">
        <w:t xml:space="preserve"> </w:t>
      </w:r>
      <w:r w:rsidR="00E27850">
        <w:t>D</w:t>
      </w:r>
      <w:r w:rsidR="00AA1C0E">
        <w:t>iligenciar una fila por cada segmento de mercado requerido</w:t>
      </w:r>
      <w:r>
        <w:t xml:space="preserve"> y Zona Geográfica</w:t>
      </w:r>
      <w:r w:rsidR="00AA1C0E">
        <w:t>.</w:t>
      </w:r>
    </w:p>
    <w:p w:rsidR="00FF795D" w:rsidRDefault="00BA09CF" w:rsidP="00FF795D">
      <w:pPr>
        <w:pStyle w:val="Prrafodelista"/>
      </w:pPr>
      <w:r>
        <w:t>*</w:t>
      </w:r>
      <w:r w:rsidR="007E64CC">
        <w:t xml:space="preserve">* </w:t>
      </w:r>
      <w:r>
        <w:t>1 o 5 años.</w:t>
      </w:r>
    </w:p>
    <w:p w:rsidR="00F3743A" w:rsidRDefault="00F3743A" w:rsidP="00FF795D">
      <w:pPr>
        <w:pStyle w:val="Prrafodelista"/>
      </w:pPr>
    </w:p>
    <w:p w:rsidR="00FF795D" w:rsidRDefault="001361DD" w:rsidP="00CB2838">
      <w:pPr>
        <w:pStyle w:val="Prrafodelista"/>
        <w:numPr>
          <w:ilvl w:val="0"/>
          <w:numId w:val="20"/>
        </w:numPr>
        <w:rPr>
          <w:b/>
        </w:rPr>
      </w:pPr>
      <w:r>
        <w:rPr>
          <w:b/>
        </w:rPr>
        <w:t xml:space="preserve">INTENCIÓN DE SUMINISTRO </w:t>
      </w:r>
      <w:r w:rsidRPr="000E346E">
        <w:rPr>
          <w:b/>
          <w:u w:val="single"/>
        </w:rPr>
        <w:t>INTERRUMPIBLE</w:t>
      </w:r>
    </w:p>
    <w:p w:rsidR="001361DD" w:rsidRDefault="001361DD" w:rsidP="001361DD">
      <w:pPr>
        <w:ind w:left="360"/>
      </w:pPr>
      <w:r>
        <w:t xml:space="preserve">Si la intención de contratación es bajo la modalidad </w:t>
      </w:r>
      <w:r w:rsidRPr="000E346E">
        <w:rPr>
          <w:u w:val="single"/>
        </w:rPr>
        <w:t>interrumpible</w:t>
      </w:r>
      <w:r>
        <w:t>, por favor diligenciar la siguiente tabla.</w:t>
      </w:r>
    </w:p>
    <w:tbl>
      <w:tblPr>
        <w:tblW w:w="907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2"/>
        <w:gridCol w:w="1015"/>
        <w:gridCol w:w="1294"/>
        <w:gridCol w:w="832"/>
        <w:gridCol w:w="1398"/>
      </w:tblGrid>
      <w:tr w:rsidR="001361DD" w:rsidRPr="00FF795D" w:rsidTr="00DD0C47">
        <w:trPr>
          <w:trHeight w:val="90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Segmento de mercado</w:t>
            </w:r>
            <w:r w:rsidR="00BA09CF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Cantidad requerida [MBTUD]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1DD" w:rsidRDefault="001361DD" w:rsidP="0013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Precio requerido</w:t>
            </w:r>
          </w:p>
          <w:p w:rsidR="001361DD" w:rsidRPr="00FF795D" w:rsidRDefault="001361DD" w:rsidP="0013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[</w:t>
            </w:r>
            <w:r>
              <w:rPr>
                <w:rFonts w:ascii="Calibri" w:eastAsia="Times New Roman" w:hAnsi="Calibri" w:cs="Times New Roman"/>
                <w:color w:val="000000"/>
              </w:rPr>
              <w:t>USD/MBTU</w:t>
            </w:r>
            <w:r w:rsidRPr="00FF795D">
              <w:rPr>
                <w:rFonts w:ascii="Calibri" w:eastAsia="Times New Roman" w:hAnsi="Calibri" w:cs="Times New Roman"/>
                <w:color w:val="000000"/>
              </w:rPr>
              <w:t>]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Plazo</w:t>
            </w:r>
            <w:r w:rsidR="00BA09CF">
              <w:rPr>
                <w:rFonts w:ascii="Calibri" w:eastAsia="Times New Roman" w:hAnsi="Calibri" w:cs="Times New Roman"/>
                <w:color w:val="000000"/>
              </w:rPr>
              <w:t>**</w:t>
            </w:r>
            <w:r w:rsidRPr="00FF795D">
              <w:rPr>
                <w:rFonts w:ascii="Calibri" w:eastAsia="Times New Roman" w:hAnsi="Calibri" w:cs="Times New Roman"/>
                <w:color w:val="000000"/>
              </w:rPr>
              <w:t xml:space="preserve"> [años]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Zona Geográfica</w:t>
            </w:r>
          </w:p>
        </w:tc>
      </w:tr>
      <w:tr w:rsidR="001361DD" w:rsidRPr="00FF795D" w:rsidTr="00DD0C47">
        <w:trPr>
          <w:trHeight w:val="60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1DD" w:rsidRPr="00FF795D" w:rsidRDefault="00A449BE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Indicar el destino del gas: </w:t>
            </w:r>
            <w:r w:rsidR="001361DD" w:rsidRPr="00FF795D">
              <w:rPr>
                <w:rFonts w:ascii="Calibri" w:eastAsia="Times New Roman" w:hAnsi="Calibri" w:cs="Times New Roman"/>
                <w:color w:val="000000"/>
              </w:rPr>
              <w:t>Industrial/Térmico/GNV/Residencial/Petroquímico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1DD" w:rsidRPr="00FF795D" w:rsidRDefault="001361DD" w:rsidP="0013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1DD" w:rsidRPr="00FF795D" w:rsidRDefault="001361DD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Interior/Costa</w:t>
            </w:r>
          </w:p>
        </w:tc>
      </w:tr>
      <w:tr w:rsidR="007E64CC" w:rsidRPr="00FF795D" w:rsidTr="00DD0C47">
        <w:trPr>
          <w:trHeight w:val="600"/>
          <w:jc w:val="center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4CC" w:rsidRDefault="007E64CC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Indicar el destino del gas: </w:t>
            </w:r>
            <w:r w:rsidRPr="00FF795D">
              <w:rPr>
                <w:rFonts w:ascii="Calibri" w:eastAsia="Times New Roman" w:hAnsi="Calibri" w:cs="Times New Roman"/>
                <w:color w:val="000000"/>
              </w:rPr>
              <w:t>Industrial/Térmico/GNV/Residencial/Petroquímico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CC" w:rsidRPr="00FF795D" w:rsidRDefault="007E64CC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4CC" w:rsidRPr="00FF795D" w:rsidRDefault="007E64CC" w:rsidP="001361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CC" w:rsidRPr="00FF795D" w:rsidRDefault="007E64CC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4CC" w:rsidRPr="00FF795D" w:rsidRDefault="007E64CC" w:rsidP="00A708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F795D">
              <w:rPr>
                <w:rFonts w:ascii="Calibri" w:eastAsia="Times New Roman" w:hAnsi="Calibri" w:cs="Times New Roman"/>
                <w:color w:val="000000"/>
              </w:rPr>
              <w:t>Interior/Costa</w:t>
            </w:r>
          </w:p>
        </w:tc>
      </w:tr>
    </w:tbl>
    <w:p w:rsidR="00BA09CF" w:rsidRDefault="00BA09CF" w:rsidP="00BA09CF">
      <w:pPr>
        <w:pStyle w:val="Prrafodelista"/>
      </w:pPr>
      <w:r>
        <w:t xml:space="preserve">* </w:t>
      </w:r>
      <w:r w:rsidR="00E27850">
        <w:t>D</w:t>
      </w:r>
      <w:r>
        <w:t>iligenciar una fila por cada segmento de mercado requerido y Zona Geográfica.</w:t>
      </w:r>
    </w:p>
    <w:p w:rsidR="00BA09CF" w:rsidRDefault="00BA09CF" w:rsidP="00BA09CF">
      <w:pPr>
        <w:pStyle w:val="Prrafodelista"/>
      </w:pPr>
      <w:r>
        <w:t>**</w:t>
      </w:r>
      <w:r w:rsidR="00040D82">
        <w:t>No mayor a 10 años.</w:t>
      </w:r>
    </w:p>
    <w:p w:rsidR="001361DD" w:rsidRDefault="001361DD" w:rsidP="001361DD">
      <w:pPr>
        <w:ind w:left="360"/>
      </w:pPr>
    </w:p>
    <w:p w:rsidR="00552759" w:rsidRDefault="00552759" w:rsidP="00552759">
      <w:pPr>
        <w:pStyle w:val="Prrafodelista"/>
        <w:numPr>
          <w:ilvl w:val="0"/>
          <w:numId w:val="20"/>
        </w:numPr>
        <w:rPr>
          <w:b/>
        </w:rPr>
      </w:pPr>
      <w:r>
        <w:rPr>
          <w:b/>
        </w:rPr>
        <w:t>INFORMACIÓN COMPLEMENTARIA</w:t>
      </w:r>
    </w:p>
    <w:p w:rsidR="00BC211B" w:rsidRDefault="00032F17" w:rsidP="000E346E">
      <w:pPr>
        <w:ind w:left="360"/>
        <w:jc w:val="both"/>
      </w:pPr>
      <w:r>
        <w:t>¿</w:t>
      </w:r>
      <w:r w:rsidR="007E64CC">
        <w:t>Por favor, describa q</w:t>
      </w:r>
      <w:r w:rsidR="001C169E">
        <w:t>ué otros elementos considera importante</w:t>
      </w:r>
      <w:r>
        <w:t>s</w:t>
      </w:r>
      <w:r w:rsidR="000E346E">
        <w:t xml:space="preserve"> que Ecopetrol S.A</w:t>
      </w:r>
      <w:r w:rsidR="00A35194">
        <w:t>. tenga en cuenta para el análisis de su intención</w:t>
      </w:r>
      <w:r w:rsidR="00BC211B">
        <w:t>?</w:t>
      </w:r>
    </w:p>
    <w:p w:rsidR="001C169E" w:rsidRDefault="001C169E" w:rsidP="001C169E">
      <w:pPr>
        <w:ind w:left="567"/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 </w:t>
      </w:r>
    </w:p>
    <w:p w:rsidR="000E2002" w:rsidRDefault="000E2002" w:rsidP="000E2002">
      <w:pPr>
        <w:pStyle w:val="Prrafodelista"/>
      </w:pPr>
    </w:p>
    <w:p w:rsidR="000C1803" w:rsidRDefault="000C1803" w:rsidP="000C1803">
      <w:pPr>
        <w:jc w:val="both"/>
      </w:pPr>
      <w:r>
        <w:t xml:space="preserve">Agradecemos el tiempo dedicado al diligenciamiento de este sondeo de mercado, esta información es muy valiosa para el mejoramiento continuo del diseño de nuestros productos. </w:t>
      </w:r>
    </w:p>
    <w:p w:rsidR="000C1803" w:rsidRDefault="000C1803" w:rsidP="000C1803">
      <w:pPr>
        <w:jc w:val="both"/>
      </w:pPr>
    </w:p>
    <w:p w:rsidR="000C1803" w:rsidRDefault="000C1803" w:rsidP="000C1803">
      <w:pPr>
        <w:jc w:val="both"/>
      </w:pPr>
      <w:r>
        <w:t>Atentamente,</w:t>
      </w:r>
    </w:p>
    <w:p w:rsidR="006F6B1D" w:rsidRDefault="006F6B1D" w:rsidP="000C1803">
      <w:pPr>
        <w:jc w:val="both"/>
      </w:pPr>
      <w:bookmarkStart w:id="0" w:name="_GoBack"/>
      <w:bookmarkEnd w:id="0"/>
    </w:p>
    <w:p w:rsidR="000C1803" w:rsidRDefault="006F6B1D" w:rsidP="000C1803">
      <w:pPr>
        <w:jc w:val="both"/>
      </w:pPr>
      <w:r>
        <w:t>(Original firmado)</w:t>
      </w:r>
    </w:p>
    <w:p w:rsidR="000C1803" w:rsidRPr="00EA6DC0" w:rsidRDefault="006F6B1D" w:rsidP="000C1803">
      <w:pPr>
        <w:pStyle w:val="Sinespaciado"/>
        <w:rPr>
          <w:b/>
        </w:rPr>
      </w:pPr>
      <w:r>
        <w:rPr>
          <w:b/>
        </w:rPr>
        <w:t>OMAR E. TOVAR DE LA CRUZ</w:t>
      </w:r>
    </w:p>
    <w:p w:rsidR="000C1803" w:rsidRDefault="000C1803" w:rsidP="000C1803">
      <w:pPr>
        <w:pStyle w:val="Sinespaciado"/>
      </w:pPr>
      <w:r>
        <w:t>Gerente de Gas</w:t>
      </w:r>
      <w:r w:rsidR="006F6B1D">
        <w:t xml:space="preserve"> (e) </w:t>
      </w:r>
    </w:p>
    <w:p w:rsidR="000C1803" w:rsidRDefault="000C1803" w:rsidP="000E2002">
      <w:pPr>
        <w:pStyle w:val="Prrafodelista"/>
      </w:pPr>
    </w:p>
    <w:sectPr w:rsidR="000C1803" w:rsidSect="006B68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866"/>
    <w:multiLevelType w:val="hybridMultilevel"/>
    <w:tmpl w:val="DA6C2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C94"/>
    <w:multiLevelType w:val="hybridMultilevel"/>
    <w:tmpl w:val="15667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A7A40"/>
    <w:multiLevelType w:val="hybridMultilevel"/>
    <w:tmpl w:val="80F6C3D8"/>
    <w:lvl w:ilvl="0" w:tplc="240A000F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55" w:hanging="360"/>
      </w:pPr>
    </w:lvl>
    <w:lvl w:ilvl="2" w:tplc="240A001B" w:tentative="1">
      <w:start w:val="1"/>
      <w:numFmt w:val="lowerRoman"/>
      <w:lvlText w:val="%3."/>
      <w:lvlJc w:val="right"/>
      <w:pPr>
        <w:ind w:left="2575" w:hanging="180"/>
      </w:pPr>
    </w:lvl>
    <w:lvl w:ilvl="3" w:tplc="240A000F" w:tentative="1">
      <w:start w:val="1"/>
      <w:numFmt w:val="decimal"/>
      <w:lvlText w:val="%4."/>
      <w:lvlJc w:val="left"/>
      <w:pPr>
        <w:ind w:left="3295" w:hanging="360"/>
      </w:pPr>
    </w:lvl>
    <w:lvl w:ilvl="4" w:tplc="240A0019" w:tentative="1">
      <w:start w:val="1"/>
      <w:numFmt w:val="lowerLetter"/>
      <w:lvlText w:val="%5."/>
      <w:lvlJc w:val="left"/>
      <w:pPr>
        <w:ind w:left="4015" w:hanging="360"/>
      </w:pPr>
    </w:lvl>
    <w:lvl w:ilvl="5" w:tplc="240A001B" w:tentative="1">
      <w:start w:val="1"/>
      <w:numFmt w:val="lowerRoman"/>
      <w:lvlText w:val="%6."/>
      <w:lvlJc w:val="right"/>
      <w:pPr>
        <w:ind w:left="4735" w:hanging="180"/>
      </w:pPr>
    </w:lvl>
    <w:lvl w:ilvl="6" w:tplc="240A000F" w:tentative="1">
      <w:start w:val="1"/>
      <w:numFmt w:val="decimal"/>
      <w:lvlText w:val="%7."/>
      <w:lvlJc w:val="left"/>
      <w:pPr>
        <w:ind w:left="5455" w:hanging="360"/>
      </w:pPr>
    </w:lvl>
    <w:lvl w:ilvl="7" w:tplc="240A0019" w:tentative="1">
      <w:start w:val="1"/>
      <w:numFmt w:val="lowerLetter"/>
      <w:lvlText w:val="%8."/>
      <w:lvlJc w:val="left"/>
      <w:pPr>
        <w:ind w:left="6175" w:hanging="360"/>
      </w:pPr>
    </w:lvl>
    <w:lvl w:ilvl="8" w:tplc="24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0DF0582E"/>
    <w:multiLevelType w:val="hybridMultilevel"/>
    <w:tmpl w:val="4E5236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006C0"/>
    <w:multiLevelType w:val="hybridMultilevel"/>
    <w:tmpl w:val="2DF0BB44"/>
    <w:lvl w:ilvl="0" w:tplc="09A20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2A5E"/>
    <w:multiLevelType w:val="hybridMultilevel"/>
    <w:tmpl w:val="F7FC3F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73C45"/>
    <w:multiLevelType w:val="multilevel"/>
    <w:tmpl w:val="DC8A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BB2305F"/>
    <w:multiLevelType w:val="hybridMultilevel"/>
    <w:tmpl w:val="1932D1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D11"/>
    <w:multiLevelType w:val="hybridMultilevel"/>
    <w:tmpl w:val="2ECCBD5C"/>
    <w:lvl w:ilvl="0" w:tplc="240A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50" w:hanging="360"/>
      </w:pPr>
    </w:lvl>
    <w:lvl w:ilvl="2" w:tplc="240A001B" w:tentative="1">
      <w:start w:val="1"/>
      <w:numFmt w:val="lowerRoman"/>
      <w:lvlText w:val="%3."/>
      <w:lvlJc w:val="right"/>
      <w:pPr>
        <w:ind w:left="2070" w:hanging="180"/>
      </w:pPr>
    </w:lvl>
    <w:lvl w:ilvl="3" w:tplc="240A000F" w:tentative="1">
      <w:start w:val="1"/>
      <w:numFmt w:val="decimal"/>
      <w:lvlText w:val="%4."/>
      <w:lvlJc w:val="left"/>
      <w:pPr>
        <w:ind w:left="2790" w:hanging="360"/>
      </w:pPr>
    </w:lvl>
    <w:lvl w:ilvl="4" w:tplc="240A0019" w:tentative="1">
      <w:start w:val="1"/>
      <w:numFmt w:val="lowerLetter"/>
      <w:lvlText w:val="%5."/>
      <w:lvlJc w:val="left"/>
      <w:pPr>
        <w:ind w:left="3510" w:hanging="360"/>
      </w:pPr>
    </w:lvl>
    <w:lvl w:ilvl="5" w:tplc="240A001B" w:tentative="1">
      <w:start w:val="1"/>
      <w:numFmt w:val="lowerRoman"/>
      <w:lvlText w:val="%6."/>
      <w:lvlJc w:val="right"/>
      <w:pPr>
        <w:ind w:left="4230" w:hanging="180"/>
      </w:pPr>
    </w:lvl>
    <w:lvl w:ilvl="6" w:tplc="240A000F" w:tentative="1">
      <w:start w:val="1"/>
      <w:numFmt w:val="decimal"/>
      <w:lvlText w:val="%7."/>
      <w:lvlJc w:val="left"/>
      <w:pPr>
        <w:ind w:left="4950" w:hanging="360"/>
      </w:pPr>
    </w:lvl>
    <w:lvl w:ilvl="7" w:tplc="240A0019" w:tentative="1">
      <w:start w:val="1"/>
      <w:numFmt w:val="lowerLetter"/>
      <w:lvlText w:val="%8."/>
      <w:lvlJc w:val="left"/>
      <w:pPr>
        <w:ind w:left="5670" w:hanging="360"/>
      </w:pPr>
    </w:lvl>
    <w:lvl w:ilvl="8" w:tplc="2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ED84F0D"/>
    <w:multiLevelType w:val="hybridMultilevel"/>
    <w:tmpl w:val="DB5CD9F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056FA"/>
    <w:multiLevelType w:val="hybridMultilevel"/>
    <w:tmpl w:val="D430B516"/>
    <w:lvl w:ilvl="0" w:tplc="46C2F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12C95"/>
    <w:multiLevelType w:val="hybridMultilevel"/>
    <w:tmpl w:val="156673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7BB8"/>
    <w:multiLevelType w:val="hybridMultilevel"/>
    <w:tmpl w:val="C58E7D46"/>
    <w:lvl w:ilvl="0" w:tplc="0784C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26D88"/>
    <w:multiLevelType w:val="hybridMultilevel"/>
    <w:tmpl w:val="D95C4A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536A7A"/>
    <w:multiLevelType w:val="hybridMultilevel"/>
    <w:tmpl w:val="4DECE1D8"/>
    <w:lvl w:ilvl="0" w:tplc="315E353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53F19"/>
    <w:multiLevelType w:val="hybridMultilevel"/>
    <w:tmpl w:val="A4A255B0"/>
    <w:lvl w:ilvl="0" w:tplc="240A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16">
    <w:nsid w:val="5123047A"/>
    <w:multiLevelType w:val="hybridMultilevel"/>
    <w:tmpl w:val="D85A9926"/>
    <w:lvl w:ilvl="0" w:tplc="6924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5BB8"/>
    <w:multiLevelType w:val="hybridMultilevel"/>
    <w:tmpl w:val="529A4E58"/>
    <w:lvl w:ilvl="0" w:tplc="1E46A3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C5AB5"/>
    <w:multiLevelType w:val="hybridMultilevel"/>
    <w:tmpl w:val="D85A9926"/>
    <w:lvl w:ilvl="0" w:tplc="6924F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23D5"/>
    <w:multiLevelType w:val="hybridMultilevel"/>
    <w:tmpl w:val="52BA42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14E1"/>
    <w:multiLevelType w:val="hybridMultilevel"/>
    <w:tmpl w:val="74EACC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11"/>
  </w:num>
  <w:num w:numId="7">
    <w:abstractNumId w:val="17"/>
  </w:num>
  <w:num w:numId="8">
    <w:abstractNumId w:val="14"/>
  </w:num>
  <w:num w:numId="9">
    <w:abstractNumId w:val="18"/>
  </w:num>
  <w:num w:numId="10">
    <w:abstractNumId w:val="1"/>
  </w:num>
  <w:num w:numId="11">
    <w:abstractNumId w:val="16"/>
  </w:num>
  <w:num w:numId="12">
    <w:abstractNumId w:val="9"/>
  </w:num>
  <w:num w:numId="13">
    <w:abstractNumId w:val="20"/>
  </w:num>
  <w:num w:numId="14">
    <w:abstractNumId w:val="19"/>
  </w:num>
  <w:num w:numId="15">
    <w:abstractNumId w:val="8"/>
  </w:num>
  <w:num w:numId="16">
    <w:abstractNumId w:val="3"/>
  </w:num>
  <w:num w:numId="17">
    <w:abstractNumId w:val="6"/>
  </w:num>
  <w:num w:numId="18">
    <w:abstractNumId w:val="13"/>
  </w:num>
  <w:num w:numId="19">
    <w:abstractNumId w:val="4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8A"/>
    <w:rsid w:val="000068FE"/>
    <w:rsid w:val="00032F17"/>
    <w:rsid w:val="00040D82"/>
    <w:rsid w:val="00042C6A"/>
    <w:rsid w:val="00052DE4"/>
    <w:rsid w:val="00090416"/>
    <w:rsid w:val="000A65AF"/>
    <w:rsid w:val="000B743C"/>
    <w:rsid w:val="000C1803"/>
    <w:rsid w:val="000E13F6"/>
    <w:rsid w:val="000E2002"/>
    <w:rsid w:val="000E346E"/>
    <w:rsid w:val="000F24DC"/>
    <w:rsid w:val="001029AF"/>
    <w:rsid w:val="00102A33"/>
    <w:rsid w:val="00113927"/>
    <w:rsid w:val="00121383"/>
    <w:rsid w:val="001214FF"/>
    <w:rsid w:val="00124626"/>
    <w:rsid w:val="001263A5"/>
    <w:rsid w:val="00130178"/>
    <w:rsid w:val="001361DD"/>
    <w:rsid w:val="0016218B"/>
    <w:rsid w:val="00183B12"/>
    <w:rsid w:val="001B064B"/>
    <w:rsid w:val="001B76B6"/>
    <w:rsid w:val="001C169E"/>
    <w:rsid w:val="001C4CF6"/>
    <w:rsid w:val="001C5224"/>
    <w:rsid w:val="001D6218"/>
    <w:rsid w:val="001D6777"/>
    <w:rsid w:val="001E5C06"/>
    <w:rsid w:val="001E69AE"/>
    <w:rsid w:val="00234F9A"/>
    <w:rsid w:val="00236C72"/>
    <w:rsid w:val="00242DC1"/>
    <w:rsid w:val="0028483F"/>
    <w:rsid w:val="00285BA8"/>
    <w:rsid w:val="002862E0"/>
    <w:rsid w:val="00290CE3"/>
    <w:rsid w:val="0029680B"/>
    <w:rsid w:val="002A4A6F"/>
    <w:rsid w:val="002B3E21"/>
    <w:rsid w:val="002B70F9"/>
    <w:rsid w:val="002D0FB6"/>
    <w:rsid w:val="002E20FE"/>
    <w:rsid w:val="002F1C01"/>
    <w:rsid w:val="002F62B9"/>
    <w:rsid w:val="0030701E"/>
    <w:rsid w:val="00317C98"/>
    <w:rsid w:val="00330436"/>
    <w:rsid w:val="003330F5"/>
    <w:rsid w:val="00362DE4"/>
    <w:rsid w:val="00384E36"/>
    <w:rsid w:val="003948AE"/>
    <w:rsid w:val="003A562F"/>
    <w:rsid w:val="003B3B6D"/>
    <w:rsid w:val="003C6D31"/>
    <w:rsid w:val="003D30AC"/>
    <w:rsid w:val="003E3735"/>
    <w:rsid w:val="003F1C71"/>
    <w:rsid w:val="00404B9E"/>
    <w:rsid w:val="00412720"/>
    <w:rsid w:val="00443441"/>
    <w:rsid w:val="00444093"/>
    <w:rsid w:val="004450A8"/>
    <w:rsid w:val="00454889"/>
    <w:rsid w:val="00484379"/>
    <w:rsid w:val="00496931"/>
    <w:rsid w:val="004B7BE2"/>
    <w:rsid w:val="0051174E"/>
    <w:rsid w:val="00520482"/>
    <w:rsid w:val="00552759"/>
    <w:rsid w:val="0055728F"/>
    <w:rsid w:val="005633A0"/>
    <w:rsid w:val="005A129B"/>
    <w:rsid w:val="005A2113"/>
    <w:rsid w:val="005A599F"/>
    <w:rsid w:val="005A6014"/>
    <w:rsid w:val="005C0B59"/>
    <w:rsid w:val="005D43D0"/>
    <w:rsid w:val="00615FB6"/>
    <w:rsid w:val="00617F53"/>
    <w:rsid w:val="00624396"/>
    <w:rsid w:val="00627E41"/>
    <w:rsid w:val="00630891"/>
    <w:rsid w:val="00646F08"/>
    <w:rsid w:val="0066285F"/>
    <w:rsid w:val="006861C2"/>
    <w:rsid w:val="006904D3"/>
    <w:rsid w:val="006A7604"/>
    <w:rsid w:val="006B6820"/>
    <w:rsid w:val="006C3584"/>
    <w:rsid w:val="006C3ECD"/>
    <w:rsid w:val="006C5441"/>
    <w:rsid w:val="006C7CC3"/>
    <w:rsid w:val="006D3618"/>
    <w:rsid w:val="006F6B1D"/>
    <w:rsid w:val="00715C05"/>
    <w:rsid w:val="00742AC2"/>
    <w:rsid w:val="007552EA"/>
    <w:rsid w:val="00781998"/>
    <w:rsid w:val="0079464B"/>
    <w:rsid w:val="007D3F91"/>
    <w:rsid w:val="007E64CC"/>
    <w:rsid w:val="007F5869"/>
    <w:rsid w:val="00830AE4"/>
    <w:rsid w:val="0085139B"/>
    <w:rsid w:val="00867325"/>
    <w:rsid w:val="008700A9"/>
    <w:rsid w:val="008717BF"/>
    <w:rsid w:val="0088305F"/>
    <w:rsid w:val="00887654"/>
    <w:rsid w:val="008E612F"/>
    <w:rsid w:val="00905B8C"/>
    <w:rsid w:val="00951159"/>
    <w:rsid w:val="00965B45"/>
    <w:rsid w:val="0097163C"/>
    <w:rsid w:val="00980330"/>
    <w:rsid w:val="00984ABF"/>
    <w:rsid w:val="0099740A"/>
    <w:rsid w:val="009A2925"/>
    <w:rsid w:val="009B1425"/>
    <w:rsid w:val="009C204B"/>
    <w:rsid w:val="009C3C47"/>
    <w:rsid w:val="009E788E"/>
    <w:rsid w:val="00A021E8"/>
    <w:rsid w:val="00A35194"/>
    <w:rsid w:val="00A449BE"/>
    <w:rsid w:val="00A462B5"/>
    <w:rsid w:val="00A6440D"/>
    <w:rsid w:val="00A644F2"/>
    <w:rsid w:val="00A82536"/>
    <w:rsid w:val="00AA1C0E"/>
    <w:rsid w:val="00AA4DE0"/>
    <w:rsid w:val="00AB65AF"/>
    <w:rsid w:val="00AC629C"/>
    <w:rsid w:val="00AD1DD3"/>
    <w:rsid w:val="00AD7810"/>
    <w:rsid w:val="00B06007"/>
    <w:rsid w:val="00B07794"/>
    <w:rsid w:val="00B17728"/>
    <w:rsid w:val="00B20224"/>
    <w:rsid w:val="00B35F86"/>
    <w:rsid w:val="00B43EF1"/>
    <w:rsid w:val="00B44A8A"/>
    <w:rsid w:val="00B77F86"/>
    <w:rsid w:val="00B86738"/>
    <w:rsid w:val="00B906EA"/>
    <w:rsid w:val="00B924B1"/>
    <w:rsid w:val="00BA09CF"/>
    <w:rsid w:val="00BC211B"/>
    <w:rsid w:val="00BE7B6F"/>
    <w:rsid w:val="00BF5462"/>
    <w:rsid w:val="00C0552A"/>
    <w:rsid w:val="00C132EF"/>
    <w:rsid w:val="00C14FD7"/>
    <w:rsid w:val="00C220A1"/>
    <w:rsid w:val="00C31FDC"/>
    <w:rsid w:val="00C36B39"/>
    <w:rsid w:val="00C50C84"/>
    <w:rsid w:val="00C5788F"/>
    <w:rsid w:val="00C64E7B"/>
    <w:rsid w:val="00CB2838"/>
    <w:rsid w:val="00CC2782"/>
    <w:rsid w:val="00CC3DB9"/>
    <w:rsid w:val="00CD0175"/>
    <w:rsid w:val="00CD0E57"/>
    <w:rsid w:val="00CE05D2"/>
    <w:rsid w:val="00CF0394"/>
    <w:rsid w:val="00CF7257"/>
    <w:rsid w:val="00D02AFB"/>
    <w:rsid w:val="00D21E0C"/>
    <w:rsid w:val="00D51FFF"/>
    <w:rsid w:val="00D64729"/>
    <w:rsid w:val="00D95FB3"/>
    <w:rsid w:val="00DD0C47"/>
    <w:rsid w:val="00DE1B80"/>
    <w:rsid w:val="00DE7D9C"/>
    <w:rsid w:val="00DF28F8"/>
    <w:rsid w:val="00DF629B"/>
    <w:rsid w:val="00DF75F3"/>
    <w:rsid w:val="00E04469"/>
    <w:rsid w:val="00E27850"/>
    <w:rsid w:val="00E572B8"/>
    <w:rsid w:val="00E60846"/>
    <w:rsid w:val="00E6572C"/>
    <w:rsid w:val="00E70737"/>
    <w:rsid w:val="00E95F1A"/>
    <w:rsid w:val="00F04A38"/>
    <w:rsid w:val="00F3743A"/>
    <w:rsid w:val="00F53853"/>
    <w:rsid w:val="00F555ED"/>
    <w:rsid w:val="00F96566"/>
    <w:rsid w:val="00FA3BE1"/>
    <w:rsid w:val="00FB1309"/>
    <w:rsid w:val="00FB5783"/>
    <w:rsid w:val="00FB5945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B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B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78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61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1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1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1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1C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61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7BE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B4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278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861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61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61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61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61C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6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6D50A-D47D-425C-BC22-091FE046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e0007664</dc:creator>
  <cp:lastModifiedBy>David Angel</cp:lastModifiedBy>
  <cp:revision>2</cp:revision>
  <cp:lastPrinted>2012-03-07T13:17:00Z</cp:lastPrinted>
  <dcterms:created xsi:type="dcterms:W3CDTF">2016-08-04T20:40:00Z</dcterms:created>
  <dcterms:modified xsi:type="dcterms:W3CDTF">2016-08-04T20:40:00Z</dcterms:modified>
</cp:coreProperties>
</file>